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D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</w:p>
    <w:p w14:paraId="0719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综合评分法</w:t>
      </w:r>
    </w:p>
    <w:p w14:paraId="0A83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</w:p>
    <w:p w14:paraId="550D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</w:rPr>
        <w:t>、评审因素权重的确定</w:t>
      </w:r>
    </w:p>
    <w:p w14:paraId="267D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综合评分法由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资格条件、综合报价、业务能力水平（现场答题</w:t>
      </w:r>
      <w:bookmarkStart w:id="0" w:name="OLE_LINK38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或</w:t>
      </w:r>
      <w:bookmarkEnd w:id="0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答辩）3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项评审因素组成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，资格条件采用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符合性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评审。综合报价分值不设上限，分值权重为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50%；现场答题或答辩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总分值为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分值权重为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50%，综合得分由高至低排序。</w:t>
      </w:r>
    </w:p>
    <w:tbl>
      <w:tblPr>
        <w:tblStyle w:val="5"/>
        <w:tblW w:w="8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4514"/>
        <w:gridCol w:w="2612"/>
      </w:tblGrid>
      <w:tr w14:paraId="08F5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94" w:type="dxa"/>
            <w:vAlign w:val="top"/>
          </w:tcPr>
          <w:p w14:paraId="6B79EE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  <w:t>序号</w:t>
            </w:r>
          </w:p>
        </w:tc>
        <w:tc>
          <w:tcPr>
            <w:tcW w:w="4514" w:type="dxa"/>
            <w:vAlign w:val="top"/>
          </w:tcPr>
          <w:p w14:paraId="7F25F9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  <w:t>评审因素</w:t>
            </w:r>
          </w:p>
        </w:tc>
        <w:tc>
          <w:tcPr>
            <w:tcW w:w="2612" w:type="dxa"/>
            <w:vAlign w:val="top"/>
          </w:tcPr>
          <w:p w14:paraId="226D71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eastAsia="zh-CN"/>
              </w:rPr>
              <w:t>权重</w:t>
            </w:r>
          </w:p>
        </w:tc>
      </w:tr>
      <w:tr w14:paraId="1D995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94" w:type="dxa"/>
            <w:vAlign w:val="center"/>
          </w:tcPr>
          <w:p w14:paraId="3598BB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14" w:type="dxa"/>
            <w:vAlign w:val="top"/>
          </w:tcPr>
          <w:p w14:paraId="76D63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资格条件</w:t>
            </w:r>
          </w:p>
        </w:tc>
        <w:tc>
          <w:tcPr>
            <w:tcW w:w="2612" w:type="dxa"/>
            <w:vAlign w:val="top"/>
          </w:tcPr>
          <w:p w14:paraId="432D23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eastAsia="zh-CN"/>
              </w:rPr>
            </w:pPr>
            <w:bookmarkStart w:id="1" w:name="OLE_LINK39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eastAsia="zh-CN"/>
              </w:rPr>
              <w:t>符合性评审</w:t>
            </w:r>
            <w:bookmarkEnd w:id="1"/>
          </w:p>
        </w:tc>
      </w:tr>
      <w:tr w14:paraId="141B9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94" w:type="dxa"/>
            <w:vAlign w:val="top"/>
          </w:tcPr>
          <w:p w14:paraId="633A55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  <w:t>2</w:t>
            </w:r>
          </w:p>
        </w:tc>
        <w:tc>
          <w:tcPr>
            <w:tcW w:w="4514" w:type="dxa"/>
            <w:vAlign w:val="top"/>
          </w:tcPr>
          <w:p w14:paraId="4AC349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综合报价</w:t>
            </w:r>
          </w:p>
        </w:tc>
        <w:tc>
          <w:tcPr>
            <w:tcW w:w="2612" w:type="dxa"/>
            <w:vAlign w:val="top"/>
          </w:tcPr>
          <w:p w14:paraId="6B311F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50%</w:t>
            </w:r>
          </w:p>
        </w:tc>
      </w:tr>
      <w:tr w14:paraId="6BD74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94" w:type="dxa"/>
            <w:vAlign w:val="top"/>
          </w:tcPr>
          <w:p w14:paraId="13B765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  <w:t>3</w:t>
            </w:r>
          </w:p>
        </w:tc>
        <w:tc>
          <w:tcPr>
            <w:tcW w:w="4514" w:type="dxa"/>
            <w:vAlign w:val="top"/>
          </w:tcPr>
          <w:p w14:paraId="6042AE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现场答题或答辩</w:t>
            </w:r>
          </w:p>
        </w:tc>
        <w:tc>
          <w:tcPr>
            <w:tcW w:w="2612" w:type="dxa"/>
            <w:vAlign w:val="top"/>
          </w:tcPr>
          <w:p w14:paraId="417FAA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50%</w:t>
            </w:r>
          </w:p>
        </w:tc>
      </w:tr>
      <w:tr w14:paraId="16E0F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608" w:type="dxa"/>
            <w:gridSpan w:val="2"/>
            <w:vAlign w:val="top"/>
          </w:tcPr>
          <w:p w14:paraId="713644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</w:rPr>
              <w:t>总计</w:t>
            </w:r>
          </w:p>
        </w:tc>
        <w:tc>
          <w:tcPr>
            <w:tcW w:w="2612" w:type="dxa"/>
            <w:vAlign w:val="top"/>
          </w:tcPr>
          <w:p w14:paraId="1337A7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100</w:t>
            </w:r>
          </w:p>
        </w:tc>
      </w:tr>
    </w:tbl>
    <w:p w14:paraId="5A299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</w:rPr>
        <w:t>、评审程序与方法</w:t>
      </w:r>
    </w:p>
    <w:p w14:paraId="61BF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评审委员会对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竞选人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的竞选文件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进行审查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资格条件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符合性评审，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其他两项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按照选取公告确定的评审因素标准、权重对有效</w:t>
      </w:r>
      <w:bookmarkStart w:id="2" w:name="OLE_LINK40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竞选文件</w:t>
      </w:r>
      <w:bookmarkEnd w:id="2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作出详细评审：</w:t>
      </w:r>
    </w:p>
    <w:p w14:paraId="0362E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）资格条件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</w:rPr>
        <w:t>评审。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竞选人的营业执照、法定代表人身份证扫描件；项目负责人身份证原件及复印件、法定代表人授权委托书、劳动合同、连续社保缴纳证明、职称证书或执业资格证书；其他专职人员身份证扫描件、劳动合同、连续社保缴纳证明等资料进行核查。资格条件不符合要求的予以否决，并注明否决情形。</w:t>
      </w:r>
    </w:p>
    <w:p w14:paraId="62AA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）综合报价评审。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评审委员会对资格条件评审通过的进行综合报价评审，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根据报价下浮率进行评分，</w:t>
      </w:r>
      <w:bookmarkStart w:id="3" w:name="OLE_LINK53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最高控制价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为报价的基础（计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每下浮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1%加1分，下浮率按照四舍五入计算到小数点后两位数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</w:t>
      </w:r>
      <w:bookmarkStart w:id="4" w:name="OLE_LINK54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报价高于最高控制价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0分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。</w:t>
      </w:r>
      <w:bookmarkEnd w:id="4"/>
    </w:p>
    <w:p w14:paraId="0590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（三）答题或答辩。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评审委员会从题目库中随机出题，由竞选单位项目负责人进行现场作答，题目类型为单选、多选、判断及问答题。出题范围为招标投标法、政府采购法、国家部委规章、招标投标相关案例分析等，评审委员会根据竞选人作答情况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现场计分。</w:t>
      </w:r>
    </w:p>
    <w:p w14:paraId="0A0A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</w:rPr>
        <w:t>竞选总分计算。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公告确定的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各项评审因素分值乘以权重计算得出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总分。</w:t>
      </w:r>
    </w:p>
    <w:p w14:paraId="6354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</w:rPr>
        <w:t>四、确定中选候选人</w:t>
      </w:r>
    </w:p>
    <w:p w14:paraId="3BC4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bookmarkStart w:id="5" w:name="OLE_LINK11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根据各竞选人的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由高至低推荐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3个</w:t>
      </w:r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排序的候选人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同时，由评审委员会票决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或对项目经理进行现场答辩的形式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确定中选候选人排序。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公示期满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且无异议，选取人应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排名第一的候选人为本次选取的中选人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并在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桂东县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星火投资建设发展集团有限公司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公众号、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官网发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布中选结果公告。</w:t>
      </w:r>
    </w:p>
    <w:p w14:paraId="18FA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61622"/>
    <w:rsid w:val="01D61622"/>
    <w:rsid w:val="188C1AFF"/>
    <w:rsid w:val="696C4B00"/>
    <w:rsid w:val="7CE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787</Characters>
  <Lines>0</Lines>
  <Paragraphs>0</Paragraphs>
  <TotalTime>8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2025-06-25T07:29:00Z</dcterms:created>
  <dc:creator>Administrator</dc:creator>
  <cp:lastModifiedBy>钟恒</cp:lastModifiedBy>
  <dcterms:modified xsi:type="dcterms:W3CDTF">2025-10-09T06:24:10Z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1B20FF6BD6F94AEE964CDC7212394783_13</vt:lpwstr>
  </property>
</Properties>
</file>